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B1DB0">
      <w:pPr>
        <w:pStyle w:val="14"/>
        <w:spacing w:line="27" w:lineRule="atLeast"/>
        <w:rPr>
          <w:rFonts w:ascii="Times New Roman" w:hAnsi="Times New Roman"/>
        </w:rPr>
      </w:pPr>
      <w:bookmarkStart w:id="0" w:name="_GoBack"/>
      <w:bookmarkEnd w:id="0"/>
      <w:r>
        <w:rPr>
          <w:rStyle w:val="18"/>
          <w:rFonts w:ascii="Times New Roman" w:hAnsi="Times New Roman"/>
          <w:color w:val="111111"/>
        </w:rPr>
        <w:t xml:space="preserve">Supplementary Table </w:t>
      </w:r>
      <w:r>
        <w:rPr>
          <w:rStyle w:val="18"/>
          <w:rFonts w:hint="eastAsia" w:ascii="Times New Roman" w:hAnsi="Times New Roman"/>
          <w:color w:val="111111"/>
        </w:rPr>
        <w:t>2</w:t>
      </w:r>
      <w:r>
        <w:rPr>
          <w:rStyle w:val="18"/>
          <w:rFonts w:ascii="Times New Roman" w:hAnsi="Times New Roman"/>
          <w:color w:val="111111"/>
        </w:rPr>
        <w:t>.</w:t>
      </w:r>
      <w:r>
        <w:rPr>
          <w:rFonts w:ascii="Times New Roman" w:hAnsi="Times New Roman"/>
          <w:color w:val="111111"/>
        </w:rPr>
        <w:t xml:space="preserve"> Transparency-oriented reconstructed summary of the 26 prespecified candidate predictors considered for LASSO screening in the integrated severe adenovirus pneumonia cohort.</w:t>
      </w:r>
    </w:p>
    <w:tbl>
      <w:tblPr>
        <w:tblStyle w:val="16"/>
        <w:tblW w:w="9092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1"/>
        <w:gridCol w:w="1186"/>
        <w:gridCol w:w="1551"/>
        <w:gridCol w:w="1744"/>
        <w:gridCol w:w="1650"/>
        <w:gridCol w:w="2350"/>
      </w:tblGrid>
      <w:tr w14:paraId="0541B9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0E981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  <w:lang w:bidi="ar"/>
              </w:rPr>
              <w:t>No.</w:t>
            </w:r>
          </w:p>
        </w:tc>
        <w:tc>
          <w:tcPr>
            <w:tcW w:w="11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ECA7A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  <w:lang w:bidi="ar"/>
              </w:rPr>
              <w:t>Candidate predictor</w:t>
            </w:r>
          </w:p>
        </w:tc>
        <w:tc>
          <w:tcPr>
            <w:tcW w:w="152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9A07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  <w:lang w:bidi="ar"/>
              </w:rPr>
              <w:t>Domain</w:t>
            </w:r>
          </w:p>
        </w:tc>
        <w:tc>
          <w:tcPr>
            <w:tcW w:w="17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BCEDE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  <w:lang w:bidi="ar"/>
              </w:rPr>
              <w:t>Assessment window</w:t>
            </w:r>
          </w:p>
        </w:tc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FFDBF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  <w:lang w:bidi="ar"/>
              </w:rPr>
              <w:t>Proposed coding for initial screening</w:t>
            </w:r>
          </w:p>
        </w:tc>
        <w:tc>
          <w:tcPr>
            <w:tcW w:w="23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A7324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/>
                <w:b/>
                <w:bCs/>
                <w:lang w:bidi="ar"/>
              </w:rPr>
              <w:t>Primary basis for inclusion</w:t>
            </w:r>
          </w:p>
        </w:tc>
      </w:tr>
      <w:tr w14:paraId="675580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45732A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</w:t>
            </w:r>
          </w:p>
        </w:tc>
        <w:tc>
          <w:tcPr>
            <w:tcW w:w="1156" w:type="dxa"/>
            <w:vAlign w:val="center"/>
          </w:tcPr>
          <w:p w14:paraId="6E4431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Age</w:t>
            </w:r>
          </w:p>
        </w:tc>
        <w:tc>
          <w:tcPr>
            <w:tcW w:w="1521" w:type="dxa"/>
            <w:vAlign w:val="center"/>
          </w:tcPr>
          <w:p w14:paraId="492DD6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Host factor</w:t>
            </w:r>
          </w:p>
        </w:tc>
        <w:tc>
          <w:tcPr>
            <w:tcW w:w="1714" w:type="dxa"/>
            <w:vAlign w:val="center"/>
          </w:tcPr>
          <w:p w14:paraId="7E9166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2B12D9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(months)</w:t>
            </w:r>
          </w:p>
        </w:tc>
        <w:tc>
          <w:tcPr>
            <w:tcW w:w="2305" w:type="dxa"/>
            <w:vAlign w:val="center"/>
          </w:tcPr>
          <w:p w14:paraId="0D3C8F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baseline table</w:t>
            </w:r>
          </w:p>
        </w:tc>
      </w:tr>
      <w:tr w14:paraId="53771C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563D65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2</w:t>
            </w:r>
          </w:p>
        </w:tc>
        <w:tc>
          <w:tcPr>
            <w:tcW w:w="1156" w:type="dxa"/>
            <w:vAlign w:val="center"/>
          </w:tcPr>
          <w:p w14:paraId="0C5C16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Sex</w:t>
            </w:r>
          </w:p>
        </w:tc>
        <w:tc>
          <w:tcPr>
            <w:tcW w:w="1521" w:type="dxa"/>
            <w:vAlign w:val="center"/>
          </w:tcPr>
          <w:p w14:paraId="43CA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Host factor</w:t>
            </w:r>
          </w:p>
        </w:tc>
        <w:tc>
          <w:tcPr>
            <w:tcW w:w="1714" w:type="dxa"/>
            <w:vAlign w:val="center"/>
          </w:tcPr>
          <w:p w14:paraId="47E200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444291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Binary (male vs female)</w:t>
            </w:r>
          </w:p>
        </w:tc>
        <w:tc>
          <w:tcPr>
            <w:tcW w:w="2305" w:type="dxa"/>
            <w:vAlign w:val="center"/>
          </w:tcPr>
          <w:p w14:paraId="48C548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source studies</w:t>
            </w:r>
          </w:p>
        </w:tc>
      </w:tr>
      <w:tr w14:paraId="2C207D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1B7F55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3</w:t>
            </w:r>
          </w:p>
        </w:tc>
        <w:tc>
          <w:tcPr>
            <w:tcW w:w="1156" w:type="dxa"/>
            <w:vAlign w:val="center"/>
          </w:tcPr>
          <w:p w14:paraId="7F024F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Any underlying disease</w:t>
            </w:r>
          </w:p>
        </w:tc>
        <w:tc>
          <w:tcPr>
            <w:tcW w:w="1521" w:type="dxa"/>
            <w:vAlign w:val="center"/>
          </w:tcPr>
          <w:p w14:paraId="16C01B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Host factor</w:t>
            </w:r>
          </w:p>
        </w:tc>
        <w:tc>
          <w:tcPr>
            <w:tcW w:w="1714" w:type="dxa"/>
            <w:vAlign w:val="center"/>
          </w:tcPr>
          <w:p w14:paraId="62EDA0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512F61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Binary (yes vs no)</w:t>
            </w:r>
          </w:p>
        </w:tc>
        <w:tc>
          <w:tcPr>
            <w:tcW w:w="2305" w:type="dxa"/>
            <w:vAlign w:val="center"/>
          </w:tcPr>
          <w:p w14:paraId="21B808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source studies</w:t>
            </w:r>
          </w:p>
        </w:tc>
      </w:tr>
      <w:tr w14:paraId="56C46E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756EF4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4</w:t>
            </w:r>
          </w:p>
        </w:tc>
        <w:tc>
          <w:tcPr>
            <w:tcW w:w="1156" w:type="dxa"/>
            <w:vAlign w:val="center"/>
          </w:tcPr>
          <w:p w14:paraId="3CAA75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Pre-admission disease course</w:t>
            </w:r>
          </w:p>
        </w:tc>
        <w:tc>
          <w:tcPr>
            <w:tcW w:w="1521" w:type="dxa"/>
            <w:vAlign w:val="center"/>
          </w:tcPr>
          <w:p w14:paraId="72776E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Clinical course</w:t>
            </w:r>
          </w:p>
        </w:tc>
        <w:tc>
          <w:tcPr>
            <w:tcW w:w="1714" w:type="dxa"/>
            <w:vAlign w:val="center"/>
          </w:tcPr>
          <w:p w14:paraId="6AC6DF3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Before admission</w:t>
            </w:r>
          </w:p>
        </w:tc>
        <w:tc>
          <w:tcPr>
            <w:tcW w:w="1620" w:type="dxa"/>
            <w:vAlign w:val="center"/>
          </w:tcPr>
          <w:p w14:paraId="6A6E14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(days)</w:t>
            </w:r>
          </w:p>
        </w:tc>
        <w:tc>
          <w:tcPr>
            <w:tcW w:w="2305" w:type="dxa"/>
            <w:vAlign w:val="center"/>
          </w:tcPr>
          <w:p w14:paraId="1C21C66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Source studies</w:t>
            </w:r>
          </w:p>
        </w:tc>
      </w:tr>
      <w:tr w14:paraId="70011C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48CB2B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5</w:t>
            </w:r>
          </w:p>
        </w:tc>
        <w:tc>
          <w:tcPr>
            <w:tcW w:w="1156" w:type="dxa"/>
            <w:vAlign w:val="center"/>
          </w:tcPr>
          <w:p w14:paraId="354BB4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Fever duration before admission</w:t>
            </w:r>
          </w:p>
        </w:tc>
        <w:tc>
          <w:tcPr>
            <w:tcW w:w="1521" w:type="dxa"/>
            <w:vAlign w:val="center"/>
          </w:tcPr>
          <w:p w14:paraId="3464F0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Clinical course</w:t>
            </w:r>
          </w:p>
        </w:tc>
        <w:tc>
          <w:tcPr>
            <w:tcW w:w="1714" w:type="dxa"/>
            <w:vAlign w:val="center"/>
          </w:tcPr>
          <w:p w14:paraId="1F627D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Before admission</w:t>
            </w:r>
          </w:p>
        </w:tc>
        <w:tc>
          <w:tcPr>
            <w:tcW w:w="1620" w:type="dxa"/>
            <w:vAlign w:val="center"/>
          </w:tcPr>
          <w:p w14:paraId="206DE4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(days)</w:t>
            </w:r>
          </w:p>
        </w:tc>
        <w:tc>
          <w:tcPr>
            <w:tcW w:w="2305" w:type="dxa"/>
            <w:vAlign w:val="center"/>
          </w:tcPr>
          <w:p w14:paraId="32F4AF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</w:t>
            </w:r>
          </w:p>
        </w:tc>
      </w:tr>
      <w:tr w14:paraId="202B64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75C19C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6</w:t>
            </w:r>
          </w:p>
        </w:tc>
        <w:tc>
          <w:tcPr>
            <w:tcW w:w="1156" w:type="dxa"/>
            <w:vAlign w:val="center"/>
          </w:tcPr>
          <w:p w14:paraId="1FAF19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Total fever duration</w:t>
            </w:r>
          </w:p>
        </w:tc>
        <w:tc>
          <w:tcPr>
            <w:tcW w:w="1521" w:type="dxa"/>
            <w:vAlign w:val="center"/>
          </w:tcPr>
          <w:p w14:paraId="1B7139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Clinical course</w:t>
            </w:r>
          </w:p>
        </w:tc>
        <w:tc>
          <w:tcPr>
            <w:tcW w:w="1714" w:type="dxa"/>
            <w:vAlign w:val="center"/>
          </w:tcPr>
          <w:p w14:paraId="61AE6D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Entire illness course</w:t>
            </w:r>
          </w:p>
        </w:tc>
        <w:tc>
          <w:tcPr>
            <w:tcW w:w="1620" w:type="dxa"/>
            <w:vAlign w:val="center"/>
          </w:tcPr>
          <w:p w14:paraId="7BBCB6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(days)</w:t>
            </w:r>
          </w:p>
        </w:tc>
        <w:tc>
          <w:tcPr>
            <w:tcW w:w="2305" w:type="dxa"/>
            <w:vAlign w:val="center"/>
          </w:tcPr>
          <w:p w14:paraId="119F1D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Final integrated model + BO source study</w:t>
            </w:r>
          </w:p>
        </w:tc>
      </w:tr>
      <w:tr w14:paraId="233B2C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3BBB73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7</w:t>
            </w:r>
          </w:p>
        </w:tc>
        <w:tc>
          <w:tcPr>
            <w:tcW w:w="1156" w:type="dxa"/>
            <w:vAlign w:val="center"/>
          </w:tcPr>
          <w:p w14:paraId="2144BF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Peak temperature</w:t>
            </w:r>
          </w:p>
        </w:tc>
        <w:tc>
          <w:tcPr>
            <w:tcW w:w="1521" w:type="dxa"/>
            <w:vAlign w:val="center"/>
          </w:tcPr>
          <w:p w14:paraId="657644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Clinical severity</w:t>
            </w:r>
          </w:p>
        </w:tc>
        <w:tc>
          <w:tcPr>
            <w:tcW w:w="1714" w:type="dxa"/>
            <w:vAlign w:val="center"/>
          </w:tcPr>
          <w:p w14:paraId="05332F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 / early admission</w:t>
            </w:r>
          </w:p>
        </w:tc>
        <w:tc>
          <w:tcPr>
            <w:tcW w:w="1620" w:type="dxa"/>
            <w:vAlign w:val="center"/>
          </w:tcPr>
          <w:p w14:paraId="17B3F9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(°C)</w:t>
            </w:r>
          </w:p>
        </w:tc>
        <w:tc>
          <w:tcPr>
            <w:tcW w:w="2305" w:type="dxa"/>
            <w:vAlign w:val="center"/>
          </w:tcPr>
          <w:p w14:paraId="6E6491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source studies</w:t>
            </w:r>
          </w:p>
        </w:tc>
      </w:tr>
      <w:tr w14:paraId="071B91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3019F8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8</w:t>
            </w:r>
          </w:p>
        </w:tc>
        <w:tc>
          <w:tcPr>
            <w:tcW w:w="1156" w:type="dxa"/>
            <w:vAlign w:val="center"/>
          </w:tcPr>
          <w:p w14:paraId="6F6FD3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Hypoxia sign</w:t>
            </w:r>
          </w:p>
        </w:tc>
        <w:tc>
          <w:tcPr>
            <w:tcW w:w="1521" w:type="dxa"/>
            <w:vAlign w:val="center"/>
          </w:tcPr>
          <w:p w14:paraId="300149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Clinical severity</w:t>
            </w:r>
          </w:p>
        </w:tc>
        <w:tc>
          <w:tcPr>
            <w:tcW w:w="1714" w:type="dxa"/>
            <w:vAlign w:val="center"/>
          </w:tcPr>
          <w:p w14:paraId="3C5E7C7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0FDA55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Binary (yes vs no)</w:t>
            </w:r>
          </w:p>
        </w:tc>
        <w:tc>
          <w:tcPr>
            <w:tcW w:w="2305" w:type="dxa"/>
            <w:vAlign w:val="center"/>
          </w:tcPr>
          <w:p w14:paraId="460349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</w:t>
            </w:r>
          </w:p>
        </w:tc>
      </w:tr>
      <w:tr w14:paraId="2CE55A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479A64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9</w:t>
            </w:r>
          </w:p>
        </w:tc>
        <w:tc>
          <w:tcPr>
            <w:tcW w:w="1156" w:type="dxa"/>
            <w:vAlign w:val="center"/>
          </w:tcPr>
          <w:p w14:paraId="08FCC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Wheezing</w:t>
            </w:r>
          </w:p>
        </w:tc>
        <w:tc>
          <w:tcPr>
            <w:tcW w:w="1521" w:type="dxa"/>
            <w:vAlign w:val="center"/>
          </w:tcPr>
          <w:p w14:paraId="653AF7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Clinical severity</w:t>
            </w:r>
          </w:p>
        </w:tc>
        <w:tc>
          <w:tcPr>
            <w:tcW w:w="1714" w:type="dxa"/>
            <w:vAlign w:val="center"/>
          </w:tcPr>
          <w:p w14:paraId="222AEA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637B8A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Binary (yes vs no)</w:t>
            </w:r>
          </w:p>
        </w:tc>
        <w:tc>
          <w:tcPr>
            <w:tcW w:w="2305" w:type="dxa"/>
            <w:vAlign w:val="center"/>
          </w:tcPr>
          <w:p w14:paraId="158510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BO source study</w:t>
            </w:r>
          </w:p>
        </w:tc>
      </w:tr>
      <w:tr w14:paraId="30A0B9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75C948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10</w:t>
            </w:r>
          </w:p>
        </w:tc>
        <w:tc>
          <w:tcPr>
            <w:tcW w:w="1156" w:type="dxa"/>
            <w:vAlign w:val="center"/>
          </w:tcPr>
          <w:p w14:paraId="45FCB8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Adenovirus type 7</w:t>
            </w:r>
          </w:p>
        </w:tc>
        <w:tc>
          <w:tcPr>
            <w:tcW w:w="1521" w:type="dxa"/>
            <w:vAlign w:val="center"/>
          </w:tcPr>
          <w:p w14:paraId="0B41B0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Etiologic factor</w:t>
            </w:r>
          </w:p>
        </w:tc>
        <w:tc>
          <w:tcPr>
            <w:tcW w:w="1714" w:type="dxa"/>
            <w:vAlign w:val="center"/>
          </w:tcPr>
          <w:p w14:paraId="720DA0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0FE54D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Binary (yes vs no)</w:t>
            </w:r>
          </w:p>
        </w:tc>
        <w:tc>
          <w:tcPr>
            <w:tcW w:w="2305" w:type="dxa"/>
            <w:vAlign w:val="center"/>
          </w:tcPr>
          <w:p w14:paraId="6AEA11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BO source study</w:t>
            </w:r>
          </w:p>
        </w:tc>
      </w:tr>
      <w:tr w14:paraId="333178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20EC82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11</w:t>
            </w:r>
          </w:p>
        </w:tc>
        <w:tc>
          <w:tcPr>
            <w:tcW w:w="1156" w:type="dxa"/>
            <w:vAlign w:val="center"/>
          </w:tcPr>
          <w:p w14:paraId="2C64FC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Bacterial co-infection</w:t>
            </w:r>
          </w:p>
        </w:tc>
        <w:tc>
          <w:tcPr>
            <w:tcW w:w="1521" w:type="dxa"/>
            <w:vAlign w:val="center"/>
          </w:tcPr>
          <w:p w14:paraId="3933C4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Infection characteristic</w:t>
            </w:r>
          </w:p>
        </w:tc>
        <w:tc>
          <w:tcPr>
            <w:tcW w:w="1714" w:type="dxa"/>
            <w:vAlign w:val="center"/>
          </w:tcPr>
          <w:p w14:paraId="11F3F4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 / hospitalization</w:t>
            </w:r>
          </w:p>
        </w:tc>
        <w:tc>
          <w:tcPr>
            <w:tcW w:w="1620" w:type="dxa"/>
            <w:vAlign w:val="center"/>
          </w:tcPr>
          <w:p w14:paraId="56F394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Binary (yes vs no)</w:t>
            </w:r>
          </w:p>
        </w:tc>
        <w:tc>
          <w:tcPr>
            <w:tcW w:w="2305" w:type="dxa"/>
            <w:vAlign w:val="center"/>
          </w:tcPr>
          <w:p w14:paraId="59A1E7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final model</w:t>
            </w:r>
          </w:p>
        </w:tc>
      </w:tr>
      <w:tr w14:paraId="044BDC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0BF0BE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12</w:t>
            </w:r>
          </w:p>
        </w:tc>
        <w:tc>
          <w:tcPr>
            <w:tcW w:w="1156" w:type="dxa"/>
            <w:vAlign w:val="center"/>
          </w:tcPr>
          <w:p w14:paraId="2DCDD8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White blood cell count</w:t>
            </w:r>
          </w:p>
        </w:tc>
        <w:tc>
          <w:tcPr>
            <w:tcW w:w="1521" w:type="dxa"/>
            <w:vAlign w:val="center"/>
          </w:tcPr>
          <w:p w14:paraId="4CEAAD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Hematologic marker</w:t>
            </w:r>
          </w:p>
        </w:tc>
        <w:tc>
          <w:tcPr>
            <w:tcW w:w="1714" w:type="dxa"/>
            <w:vAlign w:val="center"/>
          </w:tcPr>
          <w:p w14:paraId="620F1D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78E8F0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(×10⁹/L)</w:t>
            </w:r>
          </w:p>
        </w:tc>
        <w:tc>
          <w:tcPr>
            <w:tcW w:w="2305" w:type="dxa"/>
            <w:vAlign w:val="center"/>
          </w:tcPr>
          <w:p w14:paraId="1B6171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</w:t>
            </w:r>
          </w:p>
        </w:tc>
      </w:tr>
      <w:tr w14:paraId="51D8A7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6D69DD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13</w:t>
            </w:r>
          </w:p>
        </w:tc>
        <w:tc>
          <w:tcPr>
            <w:tcW w:w="1156" w:type="dxa"/>
            <w:vAlign w:val="center"/>
          </w:tcPr>
          <w:p w14:paraId="11647B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Neutrophil count</w:t>
            </w:r>
          </w:p>
        </w:tc>
        <w:tc>
          <w:tcPr>
            <w:tcW w:w="1521" w:type="dxa"/>
            <w:vAlign w:val="center"/>
          </w:tcPr>
          <w:p w14:paraId="56DF05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Hematologic marker</w:t>
            </w:r>
          </w:p>
        </w:tc>
        <w:tc>
          <w:tcPr>
            <w:tcW w:w="1714" w:type="dxa"/>
            <w:vAlign w:val="center"/>
          </w:tcPr>
          <w:p w14:paraId="44F1F6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117B7A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(×10⁹/L)</w:t>
            </w:r>
          </w:p>
        </w:tc>
        <w:tc>
          <w:tcPr>
            <w:tcW w:w="2305" w:type="dxa"/>
            <w:vAlign w:val="center"/>
          </w:tcPr>
          <w:p w14:paraId="4922A9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</w:t>
            </w:r>
          </w:p>
        </w:tc>
      </w:tr>
      <w:tr w14:paraId="20A7A2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7FA7D3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14</w:t>
            </w:r>
          </w:p>
        </w:tc>
        <w:tc>
          <w:tcPr>
            <w:tcW w:w="1156" w:type="dxa"/>
            <w:vAlign w:val="center"/>
          </w:tcPr>
          <w:p w14:paraId="645982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Lymphocyte count</w:t>
            </w:r>
          </w:p>
        </w:tc>
        <w:tc>
          <w:tcPr>
            <w:tcW w:w="1521" w:type="dxa"/>
            <w:vAlign w:val="center"/>
          </w:tcPr>
          <w:p w14:paraId="58FBD8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Hematologic marker</w:t>
            </w:r>
          </w:p>
        </w:tc>
        <w:tc>
          <w:tcPr>
            <w:tcW w:w="1714" w:type="dxa"/>
            <w:vAlign w:val="center"/>
          </w:tcPr>
          <w:p w14:paraId="50BCD5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774485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(×10⁹/L)</w:t>
            </w:r>
          </w:p>
        </w:tc>
        <w:tc>
          <w:tcPr>
            <w:tcW w:w="2305" w:type="dxa"/>
            <w:vAlign w:val="center"/>
          </w:tcPr>
          <w:p w14:paraId="1ABB5B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</w:t>
            </w:r>
          </w:p>
        </w:tc>
      </w:tr>
      <w:tr w14:paraId="304BA8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59FEC3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15</w:t>
            </w:r>
          </w:p>
        </w:tc>
        <w:tc>
          <w:tcPr>
            <w:tcW w:w="1156" w:type="dxa"/>
            <w:vAlign w:val="center"/>
          </w:tcPr>
          <w:p w14:paraId="1D9916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C-reactive protein</w:t>
            </w:r>
          </w:p>
        </w:tc>
        <w:tc>
          <w:tcPr>
            <w:tcW w:w="1521" w:type="dxa"/>
            <w:vAlign w:val="center"/>
          </w:tcPr>
          <w:p w14:paraId="14EE1B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Inflammatory marker</w:t>
            </w:r>
          </w:p>
        </w:tc>
        <w:tc>
          <w:tcPr>
            <w:tcW w:w="1714" w:type="dxa"/>
            <w:vAlign w:val="center"/>
          </w:tcPr>
          <w:p w14:paraId="0D9090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7E0EC7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(mg/L)</w:t>
            </w:r>
          </w:p>
        </w:tc>
        <w:tc>
          <w:tcPr>
            <w:tcW w:w="2305" w:type="dxa"/>
            <w:vAlign w:val="center"/>
          </w:tcPr>
          <w:p w14:paraId="180C70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 + source studies</w:t>
            </w:r>
          </w:p>
        </w:tc>
      </w:tr>
      <w:tr w14:paraId="3C4A64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6183F9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16</w:t>
            </w:r>
          </w:p>
        </w:tc>
        <w:tc>
          <w:tcPr>
            <w:tcW w:w="1156" w:type="dxa"/>
            <w:vAlign w:val="center"/>
          </w:tcPr>
          <w:p w14:paraId="1F1A80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Albumin</w:t>
            </w:r>
          </w:p>
        </w:tc>
        <w:tc>
          <w:tcPr>
            <w:tcW w:w="1521" w:type="dxa"/>
            <w:vAlign w:val="center"/>
          </w:tcPr>
          <w:p w14:paraId="56C773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Nutritional / organ injury marker</w:t>
            </w:r>
          </w:p>
        </w:tc>
        <w:tc>
          <w:tcPr>
            <w:tcW w:w="1714" w:type="dxa"/>
            <w:vAlign w:val="center"/>
          </w:tcPr>
          <w:p w14:paraId="3C9DF2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12731A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(g/L)</w:t>
            </w:r>
          </w:p>
        </w:tc>
        <w:tc>
          <w:tcPr>
            <w:tcW w:w="2305" w:type="dxa"/>
            <w:vAlign w:val="center"/>
          </w:tcPr>
          <w:p w14:paraId="64B985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 + source studies</w:t>
            </w:r>
          </w:p>
        </w:tc>
      </w:tr>
      <w:tr w14:paraId="5A01AE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0D0F27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17</w:t>
            </w:r>
          </w:p>
        </w:tc>
        <w:tc>
          <w:tcPr>
            <w:tcW w:w="1156" w:type="dxa"/>
            <w:vAlign w:val="center"/>
          </w:tcPr>
          <w:p w14:paraId="19628B5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Aspartate aminotransferase (AST)</w:t>
            </w:r>
          </w:p>
        </w:tc>
        <w:tc>
          <w:tcPr>
            <w:tcW w:w="1521" w:type="dxa"/>
            <w:vAlign w:val="center"/>
          </w:tcPr>
          <w:p w14:paraId="748833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Organ injury marker</w:t>
            </w:r>
          </w:p>
        </w:tc>
        <w:tc>
          <w:tcPr>
            <w:tcW w:w="1714" w:type="dxa"/>
            <w:vAlign w:val="center"/>
          </w:tcPr>
          <w:p w14:paraId="281CD2D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74D097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(U/L)</w:t>
            </w:r>
          </w:p>
        </w:tc>
        <w:tc>
          <w:tcPr>
            <w:tcW w:w="2305" w:type="dxa"/>
            <w:vAlign w:val="center"/>
          </w:tcPr>
          <w:p w14:paraId="0155F7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 + source studies</w:t>
            </w:r>
          </w:p>
        </w:tc>
      </w:tr>
      <w:tr w14:paraId="2F9292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0D9003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18</w:t>
            </w:r>
          </w:p>
        </w:tc>
        <w:tc>
          <w:tcPr>
            <w:tcW w:w="1156" w:type="dxa"/>
            <w:vAlign w:val="center"/>
          </w:tcPr>
          <w:p w14:paraId="68EF71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Lactate dehydrogenase (LDH)</w:t>
            </w:r>
          </w:p>
        </w:tc>
        <w:tc>
          <w:tcPr>
            <w:tcW w:w="1521" w:type="dxa"/>
            <w:vAlign w:val="center"/>
          </w:tcPr>
          <w:p w14:paraId="44EB79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Organ injury marker</w:t>
            </w:r>
          </w:p>
        </w:tc>
        <w:tc>
          <w:tcPr>
            <w:tcW w:w="1714" w:type="dxa"/>
            <w:vAlign w:val="center"/>
          </w:tcPr>
          <w:p w14:paraId="18AC06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1A7718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 (U/L)</w:t>
            </w:r>
          </w:p>
        </w:tc>
        <w:tc>
          <w:tcPr>
            <w:tcW w:w="2305" w:type="dxa"/>
            <w:vAlign w:val="center"/>
          </w:tcPr>
          <w:p w14:paraId="65F629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 + source studies</w:t>
            </w:r>
          </w:p>
        </w:tc>
      </w:tr>
      <w:tr w14:paraId="70BFAD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25166E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19</w:t>
            </w:r>
          </w:p>
        </w:tc>
        <w:tc>
          <w:tcPr>
            <w:tcW w:w="1156" w:type="dxa"/>
            <w:vAlign w:val="center"/>
          </w:tcPr>
          <w:p w14:paraId="688FAA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 NLR</w:t>
            </w:r>
          </w:p>
        </w:tc>
        <w:tc>
          <w:tcPr>
            <w:tcW w:w="1521" w:type="dxa"/>
            <w:vAlign w:val="center"/>
          </w:tcPr>
          <w:p w14:paraId="6A83F4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Derived inflammatory index</w:t>
            </w:r>
          </w:p>
        </w:tc>
        <w:tc>
          <w:tcPr>
            <w:tcW w:w="1714" w:type="dxa"/>
            <w:vAlign w:val="center"/>
          </w:tcPr>
          <w:p w14:paraId="63581C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4648B8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</w:t>
            </w:r>
          </w:p>
        </w:tc>
        <w:tc>
          <w:tcPr>
            <w:tcW w:w="2305" w:type="dxa"/>
            <w:vAlign w:val="center"/>
          </w:tcPr>
          <w:p w14:paraId="6ECAAF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</w:t>
            </w:r>
          </w:p>
        </w:tc>
      </w:tr>
      <w:tr w14:paraId="4FA3BD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045F44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20</w:t>
            </w:r>
          </w:p>
        </w:tc>
        <w:tc>
          <w:tcPr>
            <w:tcW w:w="1156" w:type="dxa"/>
            <w:vAlign w:val="center"/>
          </w:tcPr>
          <w:p w14:paraId="55D044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 PLR</w:t>
            </w:r>
          </w:p>
        </w:tc>
        <w:tc>
          <w:tcPr>
            <w:tcW w:w="1521" w:type="dxa"/>
            <w:vAlign w:val="center"/>
          </w:tcPr>
          <w:p w14:paraId="31EFA3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Derived inflammatory index</w:t>
            </w:r>
          </w:p>
        </w:tc>
        <w:tc>
          <w:tcPr>
            <w:tcW w:w="1714" w:type="dxa"/>
            <w:vAlign w:val="center"/>
          </w:tcPr>
          <w:p w14:paraId="514D8F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277A3F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</w:t>
            </w:r>
          </w:p>
        </w:tc>
        <w:tc>
          <w:tcPr>
            <w:tcW w:w="2305" w:type="dxa"/>
            <w:vAlign w:val="center"/>
          </w:tcPr>
          <w:p w14:paraId="17EBE4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 + BO source study</w:t>
            </w:r>
          </w:p>
        </w:tc>
      </w:tr>
      <w:tr w14:paraId="390F83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57AFF7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21</w:t>
            </w:r>
          </w:p>
        </w:tc>
        <w:tc>
          <w:tcPr>
            <w:tcW w:w="1156" w:type="dxa"/>
            <w:vAlign w:val="center"/>
          </w:tcPr>
          <w:p w14:paraId="14B114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 SII</w:t>
            </w:r>
          </w:p>
        </w:tc>
        <w:tc>
          <w:tcPr>
            <w:tcW w:w="1521" w:type="dxa"/>
            <w:vAlign w:val="center"/>
          </w:tcPr>
          <w:p w14:paraId="6864E1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Derived inflammatory index</w:t>
            </w:r>
          </w:p>
        </w:tc>
        <w:tc>
          <w:tcPr>
            <w:tcW w:w="1714" w:type="dxa"/>
            <w:vAlign w:val="center"/>
          </w:tcPr>
          <w:p w14:paraId="0131C4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Baseline</w:t>
            </w:r>
          </w:p>
        </w:tc>
        <w:tc>
          <w:tcPr>
            <w:tcW w:w="1620" w:type="dxa"/>
            <w:vAlign w:val="center"/>
          </w:tcPr>
          <w:p w14:paraId="6D4832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</w:t>
            </w:r>
          </w:p>
        </w:tc>
        <w:tc>
          <w:tcPr>
            <w:tcW w:w="2305" w:type="dxa"/>
            <w:vAlign w:val="center"/>
          </w:tcPr>
          <w:p w14:paraId="05D0DF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/ baseline table + BO source study</w:t>
            </w:r>
          </w:p>
        </w:tc>
      </w:tr>
      <w:tr w14:paraId="0636C3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234480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22</w:t>
            </w:r>
          </w:p>
        </w:tc>
        <w:tc>
          <w:tcPr>
            <w:tcW w:w="1156" w:type="dxa"/>
            <w:vAlign w:val="center"/>
          </w:tcPr>
          <w:p w14:paraId="15FF95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Intensive-phase NLR</w:t>
            </w:r>
          </w:p>
        </w:tc>
        <w:tc>
          <w:tcPr>
            <w:tcW w:w="1521" w:type="dxa"/>
            <w:vAlign w:val="center"/>
          </w:tcPr>
          <w:p w14:paraId="0928D9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Dynamic inflammatory index</w:t>
            </w:r>
          </w:p>
        </w:tc>
        <w:tc>
          <w:tcPr>
            <w:tcW w:w="1714" w:type="dxa"/>
            <w:vAlign w:val="center"/>
          </w:tcPr>
          <w:p w14:paraId="7F2658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Treatment-intensive phase (days 5–9)</w:t>
            </w:r>
          </w:p>
        </w:tc>
        <w:tc>
          <w:tcPr>
            <w:tcW w:w="1620" w:type="dxa"/>
            <w:vAlign w:val="center"/>
          </w:tcPr>
          <w:p w14:paraId="7D30A3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</w:t>
            </w:r>
          </w:p>
        </w:tc>
        <w:tc>
          <w:tcPr>
            <w:tcW w:w="2305" w:type="dxa"/>
            <w:vAlign w:val="center"/>
          </w:tcPr>
          <w:p w14:paraId="4E0A8F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source studies</w:t>
            </w:r>
          </w:p>
        </w:tc>
      </w:tr>
      <w:tr w14:paraId="05BD0A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7DF9D5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23</w:t>
            </w:r>
          </w:p>
        </w:tc>
        <w:tc>
          <w:tcPr>
            <w:tcW w:w="1156" w:type="dxa"/>
            <w:vAlign w:val="center"/>
          </w:tcPr>
          <w:p w14:paraId="7481E1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Intensive-phase PLR</w:t>
            </w:r>
          </w:p>
        </w:tc>
        <w:tc>
          <w:tcPr>
            <w:tcW w:w="1521" w:type="dxa"/>
            <w:vAlign w:val="center"/>
          </w:tcPr>
          <w:p w14:paraId="35B9B6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Dynamic inflammatory index</w:t>
            </w:r>
          </w:p>
        </w:tc>
        <w:tc>
          <w:tcPr>
            <w:tcW w:w="1714" w:type="dxa"/>
            <w:vAlign w:val="center"/>
          </w:tcPr>
          <w:p w14:paraId="30A9A40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Treatment-intensive phase (days 5–9)</w:t>
            </w:r>
          </w:p>
        </w:tc>
        <w:tc>
          <w:tcPr>
            <w:tcW w:w="1620" w:type="dxa"/>
            <w:vAlign w:val="center"/>
          </w:tcPr>
          <w:p w14:paraId="7706E65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</w:t>
            </w:r>
          </w:p>
        </w:tc>
        <w:tc>
          <w:tcPr>
            <w:tcW w:w="2305" w:type="dxa"/>
            <w:vAlign w:val="center"/>
          </w:tcPr>
          <w:p w14:paraId="5EBFF8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BO source study</w:t>
            </w:r>
          </w:p>
        </w:tc>
      </w:tr>
      <w:tr w14:paraId="143856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404283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24</w:t>
            </w:r>
          </w:p>
        </w:tc>
        <w:tc>
          <w:tcPr>
            <w:tcW w:w="1156" w:type="dxa"/>
            <w:vAlign w:val="center"/>
          </w:tcPr>
          <w:p w14:paraId="52BE5B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Intensive-phase SII</w:t>
            </w:r>
          </w:p>
        </w:tc>
        <w:tc>
          <w:tcPr>
            <w:tcW w:w="1521" w:type="dxa"/>
            <w:vAlign w:val="center"/>
          </w:tcPr>
          <w:p w14:paraId="6BC226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Dynamic inflammatory index</w:t>
            </w:r>
          </w:p>
        </w:tc>
        <w:tc>
          <w:tcPr>
            <w:tcW w:w="1714" w:type="dxa"/>
            <w:vAlign w:val="center"/>
          </w:tcPr>
          <w:p w14:paraId="123D11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Treatment-intensive phase (days 5–9)</w:t>
            </w:r>
          </w:p>
        </w:tc>
        <w:tc>
          <w:tcPr>
            <w:tcW w:w="1620" w:type="dxa"/>
            <w:vAlign w:val="center"/>
          </w:tcPr>
          <w:p w14:paraId="4BDF16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</w:t>
            </w:r>
          </w:p>
        </w:tc>
        <w:tc>
          <w:tcPr>
            <w:tcW w:w="2305" w:type="dxa"/>
            <w:vAlign w:val="center"/>
          </w:tcPr>
          <w:p w14:paraId="48738E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BO source study</w:t>
            </w:r>
          </w:p>
        </w:tc>
      </w:tr>
      <w:tr w14:paraId="426808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vAlign w:val="center"/>
          </w:tcPr>
          <w:p w14:paraId="5057BA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25</w:t>
            </w:r>
          </w:p>
        </w:tc>
        <w:tc>
          <w:tcPr>
            <w:tcW w:w="1156" w:type="dxa"/>
            <w:vAlign w:val="center"/>
          </w:tcPr>
          <w:p w14:paraId="50A947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ΔNLR (intensive phase − baseline)</w:t>
            </w:r>
          </w:p>
        </w:tc>
        <w:tc>
          <w:tcPr>
            <w:tcW w:w="1521" w:type="dxa"/>
            <w:vAlign w:val="center"/>
          </w:tcPr>
          <w:p w14:paraId="092A78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Dynamic change marker</w:t>
            </w:r>
          </w:p>
        </w:tc>
        <w:tc>
          <w:tcPr>
            <w:tcW w:w="1714" w:type="dxa"/>
            <w:vAlign w:val="center"/>
          </w:tcPr>
          <w:p w14:paraId="3D584B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Derived from baseline and intensive phase</w:t>
            </w:r>
          </w:p>
        </w:tc>
        <w:tc>
          <w:tcPr>
            <w:tcW w:w="1620" w:type="dxa"/>
            <w:vAlign w:val="center"/>
          </w:tcPr>
          <w:p w14:paraId="7F58EE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</w:t>
            </w:r>
          </w:p>
        </w:tc>
        <w:tc>
          <w:tcPr>
            <w:tcW w:w="2305" w:type="dxa"/>
            <w:vAlign w:val="center"/>
          </w:tcPr>
          <w:p w14:paraId="11CEB7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final model</w:t>
            </w:r>
          </w:p>
        </w:tc>
      </w:tr>
      <w:tr w14:paraId="07AB6A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6" w:type="dxa"/>
            <w:tcBorders>
              <w:bottom w:val="single" w:color="auto" w:sz="4" w:space="0"/>
            </w:tcBorders>
            <w:vAlign w:val="center"/>
          </w:tcPr>
          <w:p w14:paraId="2C0EEB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26</w:t>
            </w:r>
          </w:p>
        </w:tc>
        <w:tc>
          <w:tcPr>
            <w:tcW w:w="1156" w:type="dxa"/>
            <w:tcBorders>
              <w:bottom w:val="single" w:color="auto" w:sz="4" w:space="0"/>
            </w:tcBorders>
            <w:vAlign w:val="center"/>
          </w:tcPr>
          <w:p w14:paraId="537569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Intensive-phase LDH</w:t>
            </w:r>
          </w:p>
        </w:tc>
        <w:tc>
          <w:tcPr>
            <w:tcW w:w="1521" w:type="dxa"/>
            <w:tcBorders>
              <w:bottom w:val="single" w:color="auto" w:sz="4" w:space="0"/>
            </w:tcBorders>
            <w:vAlign w:val="center"/>
          </w:tcPr>
          <w:p w14:paraId="5A5E33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Dynamic organ injury marker</w:t>
            </w:r>
          </w:p>
        </w:tc>
        <w:tc>
          <w:tcPr>
            <w:tcW w:w="1714" w:type="dxa"/>
            <w:tcBorders>
              <w:bottom w:val="single" w:color="auto" w:sz="4" w:space="0"/>
            </w:tcBorders>
            <w:vAlign w:val="center"/>
          </w:tcPr>
          <w:p w14:paraId="6AF0CF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Treatment-intensive phase (days 5–9)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 w14:paraId="335584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Continuous</w:t>
            </w:r>
          </w:p>
        </w:tc>
        <w:tc>
          <w:tcPr>
            <w:tcW w:w="2305" w:type="dxa"/>
            <w:tcBorders>
              <w:bottom w:val="single" w:color="auto" w:sz="4" w:space="0"/>
            </w:tcBorders>
            <w:vAlign w:val="center"/>
          </w:tcPr>
          <w:p w14:paraId="72C4EC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宋体"/>
                <w:lang w:bidi="ar"/>
              </w:rPr>
              <w:t>Integrated manuscript + mortality source study + final model</w:t>
            </w:r>
          </w:p>
        </w:tc>
      </w:tr>
    </w:tbl>
    <w:p w14:paraId="561AA5ED">
      <w:pPr>
        <w:pStyle w:val="14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>Abbreviations:</w:t>
      </w:r>
      <w:r>
        <w:rPr>
          <w:rFonts w:ascii="Times New Roman" w:hAnsi="Times New Roman"/>
        </w:rPr>
        <w:t xml:space="preserve"> NLR, neutrophil-to-lymphocyte ratio; PLR, platelet-to-lymphocyte ratio; SII, systemic immune-inflammation index; LDH, lactate dehydrogenase; AST, aspartate aminotransferase.</w:t>
      </w:r>
    </w:p>
    <w:p w14:paraId="503A2983">
      <w:pPr>
        <w:pStyle w:val="14"/>
        <w:rPr>
          <w:rFonts w:hint="eastAsia" w:ascii="Times New Roman" w:hAnsi="Times New Roman"/>
        </w:rPr>
      </w:pPr>
      <w:r>
        <w:rPr>
          <w:rStyle w:val="18"/>
          <w:rFonts w:ascii="Times New Roman" w:hAnsi="Times New Roman"/>
        </w:rPr>
        <w:t>Assessment-window note:</w:t>
      </w:r>
      <w:r>
        <w:rPr>
          <w:rFonts w:ascii="Times New Roman" w:hAnsi="Times New Roman"/>
        </w:rPr>
        <w:t xml:space="preserve"> Baseline was defined as data obtained within 24 hours of admission. The treatment-intensive phase was defined as days 5–9 after treatment initiation, with day 7 as the anchor time point; if unavailable, the closest value from days 4–10 was used.</w:t>
      </w:r>
    </w:p>
    <w:sectPr>
      <w:pgSz w:w="11906" w:h="16839"/>
      <w:pgMar w:top="1440" w:right="1440" w:bottom="1440" w:left="1440" w:header="851" w:footer="992" w:gutter="0"/>
      <w:lnNumType w:countBy="0" w:restart="continuous"/>
      <w:cols w:space="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D2E"/>
    <w:rsid w:val="00015211"/>
    <w:rsid w:val="004342CE"/>
    <w:rsid w:val="00537D10"/>
    <w:rsid w:val="00564D2E"/>
    <w:rsid w:val="00664107"/>
    <w:rsid w:val="006A5A0C"/>
    <w:rsid w:val="007F2D46"/>
    <w:rsid w:val="00867B15"/>
    <w:rsid w:val="009F3EF7"/>
    <w:rsid w:val="00A03452"/>
    <w:rsid w:val="00A115CC"/>
    <w:rsid w:val="00B302D4"/>
    <w:rsid w:val="00BB647F"/>
    <w:rsid w:val="00CA0ACE"/>
    <w:rsid w:val="097D4FC6"/>
    <w:rsid w:val="3D45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cs="Times New Roman" w:asciiTheme="minorEastAsia" w:hAnsiTheme="minorEastAsia" w:eastAsiaTheme="minorEastAsia"/>
      <w:kern w:val="0"/>
      <w:sz w:val="24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2F5597" w:themeColor="accent1" w:themeShade="BF"/>
      <w:kern w:val="2"/>
      <w:sz w:val="40"/>
      <w:szCs w:val="40"/>
      <w14:ligatures w14:val="standardContextual"/>
    </w:rPr>
  </w:style>
  <w:style w:type="paragraph" w:styleId="3">
    <w:name w:val="heading 2"/>
    <w:basedOn w:val="1"/>
    <w:next w:val="1"/>
    <w:link w:val="22"/>
    <w:semiHidden/>
    <w:unhideWhenUsed/>
    <w:qFormat/>
    <w:uiPriority w:val="0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2F5597" w:themeColor="accent1" w:themeShade="BF"/>
      <w:kern w:val="2"/>
      <w:sz w:val="32"/>
      <w:szCs w:val="32"/>
      <w14:ligatures w14:val="standardContextual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2F5597" w:themeColor="accent1" w:themeShade="BF"/>
      <w:kern w:val="2"/>
      <w:sz w:val="28"/>
      <w:szCs w:val="28"/>
      <w14:ligatures w14:val="standardContextual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2F5597" w:themeColor="accent1" w:themeShade="BF"/>
      <w:kern w:val="2"/>
      <w14:ligatures w14:val="standardContextual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2F5597" w:themeColor="accent1" w:themeShade="BF"/>
      <w:kern w:val="2"/>
      <w14:ligatures w14:val="standardContextual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kern w:val="2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62626" w:themeColor="text1" w:themeTint="D9"/>
      <w:kern w:val="2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0"/>
    <w:unhideWhenUsed/>
    <w:qFormat/>
    <w:uiPriority w:val="99"/>
    <w:pPr>
      <w:tabs>
        <w:tab w:val="center" w:pos="4320"/>
        <w:tab w:val="right" w:pos="8640"/>
      </w:tabs>
    </w:pPr>
    <w:rPr>
      <w:rFonts w:asciiTheme="minorHAnsi" w:hAnsiTheme="minorHAnsi" w:cstheme="minorBidi"/>
      <w:kern w:val="2"/>
      <w14:ligatures w14:val="standardContextual"/>
    </w:rPr>
  </w:style>
  <w:style w:type="paragraph" w:styleId="12">
    <w:name w:val="header"/>
    <w:basedOn w:val="1"/>
    <w:link w:val="39"/>
    <w:unhideWhenUsed/>
    <w:qFormat/>
    <w:uiPriority w:val="99"/>
    <w:pPr>
      <w:tabs>
        <w:tab w:val="center" w:pos="4320"/>
        <w:tab w:val="right" w:pos="8640"/>
      </w:tabs>
    </w:pPr>
    <w:rPr>
      <w:rFonts w:asciiTheme="minorHAnsi" w:hAnsiTheme="minorHAnsi" w:cstheme="minorBidi"/>
      <w:kern w:val="2"/>
      <w14:ligatures w14:val="standardContextual"/>
    </w:rPr>
  </w:style>
  <w:style w:type="paragraph" w:styleId="13">
    <w:name w:val="Subtitle"/>
    <w:basedOn w:val="1"/>
    <w:next w:val="1"/>
    <w:link w:val="31"/>
    <w:qFormat/>
    <w:uiPriority w:val="11"/>
    <w:p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Normal (Web)"/>
    <w:basedOn w:val="1"/>
    <w:uiPriority w:val="0"/>
    <w:pPr>
      <w:spacing w:after="150"/>
      <w:jc w:val="both"/>
    </w:pPr>
  </w:style>
  <w:style w:type="paragraph" w:styleId="15">
    <w:name w:val="Title"/>
    <w:basedOn w:val="1"/>
    <w:next w:val="1"/>
    <w:link w:val="30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Emphasis"/>
    <w:basedOn w:val="17"/>
    <w:qFormat/>
    <w:uiPriority w:val="0"/>
    <w:rPr>
      <w:i/>
    </w:rPr>
  </w:style>
  <w:style w:type="character" w:styleId="20">
    <w:name w:val="line number"/>
    <w:basedOn w:val="17"/>
    <w:semiHidden/>
    <w:unhideWhenUsed/>
    <w:qFormat/>
    <w:uiPriority w:val="99"/>
  </w:style>
  <w:style w:type="character" w:customStyle="1" w:styleId="21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2 字符"/>
    <w:basedOn w:val="17"/>
    <w:link w:val="3"/>
    <w:semiHidden/>
    <w:uiPriority w:val="0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3 字符"/>
    <w:basedOn w:val="17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4">
    <w:name w:val="标题 4 字符"/>
    <w:basedOn w:val="17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5">
    <w:name w:val="标题 5 字符"/>
    <w:basedOn w:val="17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6">
    <w:name w:val="标题 6 字符"/>
    <w:basedOn w:val="17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7 字符"/>
    <w:basedOn w:val="17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7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9">
    <w:name w:val="标题 9 字符"/>
    <w:basedOn w:val="17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7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3">
    <w:name w:val="引用 字符"/>
    <w:basedOn w:val="17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14:ligatures w14:val="standardContextual"/>
    </w:rPr>
  </w:style>
  <w:style w:type="character" w:customStyle="1" w:styleId="35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2F5597" w:themeColor="accent1" w:themeShade="BF"/>
      <w:kern w:val="2"/>
      <w14:ligatures w14:val="standardContextual"/>
    </w:rPr>
  </w:style>
  <w:style w:type="character" w:customStyle="1" w:styleId="37">
    <w:name w:val="明显引用 字符"/>
    <w:basedOn w:val="17"/>
    <w:link w:val="36"/>
    <w:uiPriority w:val="30"/>
    <w:rPr>
      <w:i/>
      <w:iCs/>
      <w:color w:val="2F5597" w:themeColor="accent1" w:themeShade="BF"/>
    </w:rPr>
  </w:style>
  <w:style w:type="character" w:customStyle="1" w:styleId="38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9">
    <w:name w:val="页眉 字符"/>
    <w:basedOn w:val="17"/>
    <w:link w:val="12"/>
    <w:uiPriority w:val="99"/>
  </w:style>
  <w:style w:type="character" w:customStyle="1" w:styleId="40">
    <w:name w:val="页脚 字符"/>
    <w:basedOn w:val="17"/>
    <w:link w:val="1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1011</Words>
  <Characters>6286</Characters>
  <Lines>138</Lines>
  <Paragraphs>44</Paragraphs>
  <TotalTime>6</TotalTime>
  <ScaleCrop>false</ScaleCrop>
  <LinksUpToDate>false</LinksUpToDate>
  <CharactersWithSpaces>7095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2026-04-22T01:15:00Z</dcterms:created>
  <dc:creator>Editor</dc:creator>
  <cp:lastModifiedBy>author</cp:lastModifiedBy>
  <dcterms:modified xsi:type="dcterms:W3CDTF">2026-06-29T04:13:29Z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eyJoZGlkIjoiNWQzMThhMGRkZmQ5MWNhMDJjMDM1ZjQ0NDc1OWE3MzIiLCJ1c2VySWQiOiI0NDExMDUwNTYifQ==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1A127581E9BD47DEA1449C1DC93709B4_12</vt:lpwstr>
  </property>
</Properties>
</file>